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7814">
      <w:pPr>
        <w:spacing w:after="0" w:line="240" w:lineRule="auto"/>
        <w:rPr>
          <w:rFonts w:ascii="Times New Roman" w:hAnsi="Times New Roman" w:eastAsia="Cambria"/>
          <w:b/>
          <w:bCs/>
          <w:color w:val="auto"/>
          <w:sz w:val="24"/>
          <w:szCs w:val="24"/>
        </w:rPr>
      </w:pPr>
      <w:r>
        <w:rPr>
          <w:rFonts w:ascii="Times New Roman" w:hAnsi="Times New Roman" w:eastAsia="Cambria"/>
          <w:b/>
          <w:bCs/>
          <w:color w:val="auto"/>
          <w:sz w:val="24"/>
          <w:szCs w:val="24"/>
        </w:rPr>
        <w:t>Јавна медијска установа Радио-телевизија Србије</w:t>
      </w:r>
    </w:p>
    <w:p w14:paraId="05D058D5">
      <w:pPr>
        <w:spacing w:after="0" w:line="240" w:lineRule="auto"/>
        <w:rPr>
          <w:rFonts w:ascii="Times New Roman" w:hAnsi="Times New Roman" w:eastAsia="Cambria"/>
          <w:color w:val="auto"/>
          <w:sz w:val="24"/>
          <w:szCs w:val="24"/>
        </w:rPr>
      </w:pPr>
      <w:r>
        <w:rPr>
          <w:rFonts w:ascii="Times New Roman" w:hAnsi="Times New Roman" w:eastAsia="Cambria"/>
          <w:color w:val="auto"/>
          <w:sz w:val="24"/>
          <w:szCs w:val="24"/>
        </w:rPr>
        <w:t xml:space="preserve">Таковска 10, Београд </w:t>
      </w:r>
    </w:p>
    <w:p w14:paraId="24EC9462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</w:p>
    <w:p w14:paraId="23054580">
      <w:pPr>
        <w:keepNext/>
        <w:suppressAutoHyphens/>
        <w:spacing w:after="0" w:line="240" w:lineRule="auto"/>
        <w:jc w:val="both"/>
        <w:rPr>
          <w:rFonts w:ascii="Times New Roman" w:hAnsi="Times New Roman" w:eastAsia="Cambria"/>
          <w:color w:val="auto"/>
          <w:sz w:val="24"/>
          <w:szCs w:val="24"/>
        </w:rPr>
      </w:pPr>
      <w:r>
        <w:rPr>
          <w:rFonts w:ascii="Times New Roman" w:hAnsi="Times New Roman" w:eastAsia="Cambria"/>
          <w:color w:val="auto"/>
          <w:sz w:val="24"/>
          <w:szCs w:val="24"/>
        </w:rPr>
        <w:t xml:space="preserve">На основу члана 27. став 1. тачка 1-3. Закона о јавним набавкама („Службени гласник РС“ број 91/19) и члана  47 Правилника о ближем уређењу јавних набавки, Прилога 1, </w:t>
      </w:r>
    </w:p>
    <w:p w14:paraId="1C48076F">
      <w:pPr>
        <w:keepNext/>
        <w:suppressAutoHyphens/>
        <w:spacing w:after="0" w:line="240" w:lineRule="auto"/>
        <w:jc w:val="both"/>
        <w:rPr>
          <w:rFonts w:ascii="Times New Roman" w:hAnsi="Times New Roman" w:eastAsia="Cambria"/>
          <w:color w:val="auto"/>
          <w:sz w:val="24"/>
          <w:szCs w:val="24"/>
        </w:rPr>
      </w:pPr>
      <w:r>
        <w:rPr>
          <w:rFonts w:ascii="Times New Roman" w:hAnsi="Times New Roman" w:eastAsia="Cambria"/>
          <w:color w:val="auto"/>
          <w:sz w:val="24"/>
          <w:szCs w:val="24"/>
        </w:rPr>
        <w:t xml:space="preserve">упућује се </w:t>
      </w:r>
    </w:p>
    <w:p w14:paraId="1251EF30">
      <w:pPr>
        <w:keepNext/>
        <w:suppressAutoHyphens/>
        <w:spacing w:after="0" w:line="240" w:lineRule="auto"/>
        <w:jc w:val="both"/>
        <w:rPr>
          <w:rFonts w:ascii="Times New Roman" w:hAnsi="Times New Roman" w:eastAsia="Calibri Light"/>
          <w:color w:val="auto"/>
          <w:sz w:val="24"/>
          <w:szCs w:val="24"/>
        </w:rPr>
      </w:pPr>
    </w:p>
    <w:p w14:paraId="6C51D150">
      <w:pPr>
        <w:keepNext/>
        <w:tabs>
          <w:tab w:val="left" w:pos="0"/>
        </w:tabs>
        <w:suppressAutoHyphens/>
        <w:spacing w:after="0" w:line="240" w:lineRule="auto"/>
        <w:rPr>
          <w:rFonts w:ascii="Times New Roman" w:hAnsi="Times New Roman" w:eastAsia="Calibri Light"/>
          <w:b/>
          <w:color w:val="auto"/>
          <w:sz w:val="24"/>
          <w:szCs w:val="24"/>
        </w:rPr>
      </w:pPr>
    </w:p>
    <w:p w14:paraId="19D7D1D7">
      <w:pPr>
        <w:keepNext/>
        <w:tabs>
          <w:tab w:val="left" w:pos="0"/>
        </w:tabs>
        <w:suppressAutoHyphens/>
        <w:spacing w:after="0" w:line="240" w:lineRule="auto"/>
        <w:ind w:left="576" w:hanging="576"/>
        <w:jc w:val="center"/>
        <w:rPr>
          <w:rFonts w:ascii="Times New Roman" w:hAnsi="Times New Roman" w:eastAsia="Calibri Light"/>
          <w:b/>
          <w:color w:val="auto"/>
          <w:sz w:val="24"/>
          <w:szCs w:val="24"/>
        </w:rPr>
      </w:pPr>
      <w:r>
        <w:rPr>
          <w:rFonts w:ascii="Times New Roman" w:hAnsi="Times New Roman" w:eastAsia="Calibri Light"/>
          <w:b/>
          <w:color w:val="auto"/>
          <w:sz w:val="24"/>
          <w:szCs w:val="24"/>
        </w:rPr>
        <w:t>П О З И В</w:t>
      </w:r>
    </w:p>
    <w:p w14:paraId="0799EE9D">
      <w:pPr>
        <w:suppressAutoHyphens/>
        <w:jc w:val="center"/>
        <w:rPr>
          <w:rFonts w:ascii="Times New Roman" w:hAnsi="Times New Roman" w:eastAsia="Calibri Light"/>
          <w:b/>
          <w:color w:val="auto"/>
          <w:sz w:val="24"/>
          <w:szCs w:val="24"/>
        </w:rPr>
      </w:pPr>
      <w:r>
        <w:rPr>
          <w:rFonts w:ascii="Times New Roman" w:hAnsi="Times New Roman" w:eastAsia="Calibri Light"/>
          <w:b/>
          <w:color w:val="auto"/>
          <w:sz w:val="24"/>
          <w:szCs w:val="24"/>
        </w:rPr>
        <w:t>за достављање понуде</w:t>
      </w:r>
    </w:p>
    <w:p w14:paraId="3763B7C8">
      <w:pPr>
        <w:suppressAutoHyphens/>
        <w:spacing w:after="0"/>
        <w:rPr>
          <w:rFonts w:ascii="Times New Roman" w:hAnsi="Times New Roman" w:eastAsia="Calibri Light"/>
          <w:b/>
          <w:color w:val="auto"/>
          <w:sz w:val="24"/>
          <w:szCs w:val="24"/>
        </w:rPr>
      </w:pPr>
    </w:p>
    <w:p w14:paraId="078E36B9">
      <w:pPr>
        <w:suppressAutoHyphens/>
        <w:jc w:val="both"/>
        <w:rPr>
          <w:rFonts w:ascii="Times New Roman" w:hAnsi="Times New Roman" w:eastAsia="Calibri Light"/>
          <w:color w:val="auto"/>
          <w:sz w:val="24"/>
          <w:szCs w:val="24"/>
        </w:rPr>
      </w:pPr>
    </w:p>
    <w:p w14:paraId="75D5FA1F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Позивамо вас да доставите понуду за јавну набавку  </w:t>
      </w:r>
    </w:p>
    <w:p w14:paraId="2CE969D4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Радови </w:t>
      </w:r>
      <w:r>
        <w:rPr>
          <w:rFonts w:ascii="Times New Roman" w:hAnsi="Times New Roman"/>
          <w:b/>
          <w:bCs/>
          <w:color w:val="auto"/>
          <w:sz w:val="24"/>
          <w:szCs w:val="24"/>
          <w:lang w:val="sr-Cyrl-RS"/>
        </w:rPr>
        <w:t>на агрегатском напајању  електроенергетских инсталација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у објектима РТС-а</w:t>
      </w:r>
      <w:r>
        <w:rPr>
          <w:rFonts w:ascii="Times New Roman" w:hAnsi="Times New Roman"/>
          <w:b/>
          <w:bCs/>
          <w:color w:val="auto"/>
          <w:sz w:val="24"/>
          <w:szCs w:val="24"/>
          <w:lang w:val="sr-Cyrl-RS"/>
        </w:rPr>
        <w:t>,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sr-Cyrl-RS"/>
        </w:rPr>
        <w:t xml:space="preserve">прерада поља 9 и 14 у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sr-Latn-RS"/>
        </w:rPr>
        <w:t>GRO-PEC,</w:t>
      </w:r>
      <w:r>
        <w:rPr>
          <w:rFonts w:ascii="Times New Roman" w:hAnsi="Times New Roman"/>
          <w:b/>
          <w:bCs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>која је исказана у Плану јавних набавки за 2025. годину а у свему према спецификацији / предмеру која је прилог овог позива.</w:t>
      </w:r>
    </w:p>
    <w:p w14:paraId="118DB985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Процењена вредност за ову набавку је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1.00</w:t>
      </w:r>
      <w:r>
        <w:rPr>
          <w:rFonts w:ascii="Times New Roman" w:hAnsi="Times New Roman" w:eastAsia="Calibri Light"/>
          <w:color w:val="auto"/>
          <w:sz w:val="24"/>
          <w:szCs w:val="24"/>
          <w:lang w:val="sr-Latn-RS"/>
        </w:rPr>
        <w:t>0.000,00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РСД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без ПДВ-а.</w:t>
      </w:r>
    </w:p>
    <w:p w14:paraId="0512CC15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>Понуда доставити на свом меморандуму или обрасцу који се налази у прилогу овог позива. Са обавезним елементима:</w:t>
      </w:r>
    </w:p>
    <w:p w14:paraId="3D2BEDE9">
      <w:pPr>
        <w:numPr>
          <w:ilvl w:val="0"/>
          <w:numId w:val="1"/>
        </w:numPr>
        <w:suppressAutoHyphens/>
        <w:ind w:left="720" w:hanging="360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>Назив артикла, количина, јединична цена, укупна цена</w:t>
      </w:r>
    </w:p>
    <w:p w14:paraId="5952EAE5">
      <w:pPr>
        <w:numPr>
          <w:ilvl w:val="0"/>
          <w:numId w:val="1"/>
        </w:numPr>
        <w:suppressAutoHyphens/>
        <w:ind w:left="720" w:hanging="360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Гарaнтни рок на радове: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>2 године</w:t>
      </w:r>
    </w:p>
    <w:p w14:paraId="5D0A3891">
      <w:pPr>
        <w:numPr>
          <w:ilvl w:val="0"/>
          <w:numId w:val="1"/>
        </w:numPr>
        <w:suppressAutoHyphens/>
        <w:ind w:left="720" w:hanging="360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Гарaнтни рок на уграђени материјал: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>гаранција произвођача</w:t>
      </w:r>
    </w:p>
    <w:p w14:paraId="6C2909A9">
      <w:pPr>
        <w:numPr>
          <w:ilvl w:val="0"/>
          <w:numId w:val="1"/>
        </w:numPr>
        <w:suppressAutoHyphens/>
        <w:ind w:left="720" w:hanging="360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Рок извршења радова: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  <w:lang w:val="sr-Latn-RS"/>
        </w:rPr>
        <w:t>30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 xml:space="preserve">календарских дана од дана увођења у посао, a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  <w:lang w:val="sr-Cyrl-RS"/>
        </w:rPr>
        <w:t>по завођењу Уговора на писарници наручиоца</w:t>
      </w:r>
    </w:p>
    <w:p w14:paraId="7D648350">
      <w:pPr>
        <w:numPr>
          <w:ilvl w:val="0"/>
          <w:numId w:val="1"/>
        </w:numPr>
        <w:suppressAutoHyphens/>
        <w:ind w:left="720" w:hanging="360"/>
        <w:rPr>
          <w:rFonts w:ascii="Times New Roman" w:hAnsi="Times New Roman" w:eastAsia="Calibri Light"/>
          <w:b/>
          <w:bCs w:val="0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>Локација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eastAsia="Lucida Sans Unicode"/>
          <w:b/>
          <w:bCs w:val="0"/>
          <w:color w:val="auto"/>
          <w:sz w:val="24"/>
          <w:szCs w:val="24"/>
          <w:lang w:val="sr-Cyrl-RS" w:eastAsia="hi-IN" w:bidi="hi-IN"/>
        </w:rPr>
        <w:t>„ПЕЦ“ Абердарева 1, Београд</w:t>
      </w:r>
    </w:p>
    <w:p w14:paraId="140E9C0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Услови плаћања: </w:t>
      </w:r>
      <w:r>
        <w:rPr>
          <w:rFonts w:ascii="Times New Roman" w:hAnsi="Times New Roman"/>
          <w:color w:val="auto"/>
          <w:sz w:val="24"/>
          <w:szCs w:val="24"/>
        </w:rPr>
        <w:t xml:space="preserve">Накнаду за изведене радове РТС ће да уплати у року од </w:t>
      </w:r>
      <w:r>
        <w:rPr>
          <w:rFonts w:ascii="Times New Roman" w:hAnsi="Times New Roman"/>
          <w:color w:val="auto"/>
          <w:sz w:val="24"/>
          <w:szCs w:val="24"/>
          <w:lang w:val="sr-Cyrl-RS"/>
        </w:rPr>
        <w:t>25</w:t>
      </w:r>
      <w:r>
        <w:rPr>
          <w:rFonts w:ascii="Times New Roman" w:hAnsi="Times New Roman"/>
          <w:color w:val="auto"/>
          <w:sz w:val="24"/>
          <w:szCs w:val="24"/>
        </w:rPr>
        <w:t xml:space="preserve"> дана од дана пријема Окончане ситуације оверене од стране Надзорног органа и Записника о извршеној примопредаји  радова, потписаног од стра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не овлашћеног лица Наручиоца.</w:t>
      </w:r>
    </w:p>
    <w:p w14:paraId="0F85B901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8170EC4">
      <w:pPr>
        <w:widowControl w:val="0"/>
        <w:jc w:val="both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>Остали услови понуде: /</w:t>
      </w:r>
    </w:p>
    <w:p w14:paraId="479E3FE8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Рок за достављање понуда: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>до 12 часова на дан отварања</w:t>
      </w:r>
    </w:p>
    <w:p w14:paraId="1D0684CB">
      <w:pPr>
        <w:suppressAutoHyphens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Начин достављања понуда: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>на сајту РТС-а.</w:t>
      </w:r>
    </w:p>
    <w:p w14:paraId="1E212D99">
      <w:pPr>
        <w:suppressAutoHyphens/>
        <w:rPr>
          <w:rFonts w:ascii="Times New Roman" w:hAnsi="Times New Roman" w:eastAsia="Calibri Light"/>
          <w:b/>
          <w:bCs/>
          <w:color w:val="auto"/>
          <w:sz w:val="24"/>
          <w:szCs w:val="24"/>
          <w:lang w:val="sr-Cyrl-RS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Критеријум за избор најповољније понуде: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>најнижа цена</w:t>
      </w:r>
    </w:p>
    <w:p w14:paraId="79DF15DA">
      <w:pPr>
        <w:suppressAutoHyphens/>
        <w:rPr>
          <w:rFonts w:ascii="Times New Roman" w:hAnsi="Times New Roman" w:eastAsia="Calibri Light"/>
          <w:color w:val="auto"/>
          <w:sz w:val="24"/>
          <w:szCs w:val="24"/>
          <w:lang w:val="sr-Latn-RS"/>
        </w:rPr>
      </w:pP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Понуђач, са којим се склапа уговор, у обавези је да уз потписан уговор достави и доказе (важеће уговоре) о ангажовању:</w:t>
      </w:r>
    </w:p>
    <w:p w14:paraId="7E565323">
      <w:pPr>
        <w:pStyle w:val="4"/>
        <w:numPr>
          <w:ilvl w:val="0"/>
          <w:numId w:val="2"/>
        </w:numPr>
        <w:rPr>
          <w:rFonts w:ascii="Times New Roman" w:hAnsi="Times New Roman" w:eastAsia="Calibri Light"/>
          <w:color w:val="auto"/>
          <w:sz w:val="24"/>
          <w:szCs w:val="24"/>
          <w:lang w:val="sr-Latn-RS"/>
        </w:rPr>
      </w:pPr>
      <w:r>
        <w:rPr>
          <w:rFonts w:ascii="Times New Roman" w:hAnsi="Times New Roman" w:eastAsia="Calibri Light"/>
          <w:color w:val="auto"/>
          <w:sz w:val="24"/>
          <w:szCs w:val="24"/>
          <w:lang w:val="sr-Latn-RS"/>
        </w:rPr>
        <w:t xml:space="preserve">минимум једног </w:t>
      </w:r>
      <w:r>
        <w:rPr>
          <w:rFonts w:hint="default" w:ascii="Times New Roman" w:hAnsi="Times New Roman" w:eastAsia="Calibri Light"/>
          <w:color w:val="auto"/>
          <w:sz w:val="24"/>
          <w:szCs w:val="24"/>
          <w:lang w:val="sr-Cyrl-RS"/>
        </w:rPr>
        <w:t>електро</w:t>
      </w:r>
      <w:r>
        <w:rPr>
          <w:rFonts w:ascii="Times New Roman" w:hAnsi="Times New Roman" w:eastAsia="Calibri Light"/>
          <w:color w:val="auto"/>
          <w:sz w:val="24"/>
          <w:szCs w:val="24"/>
          <w:lang w:val="sr-Latn-RS"/>
        </w:rPr>
        <w:t xml:space="preserve"> инжењера са личном лиценцом одговорног извођача радова број </w:t>
      </w:r>
      <w:r>
        <w:rPr>
          <w:rFonts w:hint="default" w:ascii="Times New Roman" w:hAnsi="Times New Roman" w:eastAsia="Calibri Light"/>
          <w:color w:val="auto"/>
          <w:sz w:val="24"/>
          <w:szCs w:val="24"/>
          <w:lang w:val="sr-Cyrl-RS"/>
        </w:rPr>
        <w:t>450</w:t>
      </w:r>
      <w:r>
        <w:rPr>
          <w:rFonts w:ascii="Times New Roman" w:hAnsi="Times New Roman" w:eastAsia="Calibri Light"/>
          <w:color w:val="auto"/>
          <w:sz w:val="24"/>
          <w:szCs w:val="24"/>
          <w:lang w:val="sr-Latn-RS"/>
        </w:rPr>
        <w:t>.</w:t>
      </w:r>
    </w:p>
    <w:p w14:paraId="6E10DD63">
      <w:pPr>
        <w:pStyle w:val="4"/>
        <w:numPr>
          <w:ilvl w:val="0"/>
          <w:numId w:val="2"/>
        </w:numPr>
        <w:rPr>
          <w:rFonts w:ascii="Times New Roman" w:hAnsi="Times New Roman" w:eastAsia="Calibri Light"/>
          <w:color w:val="auto"/>
          <w:sz w:val="24"/>
          <w:szCs w:val="24"/>
          <w:lang w:val="sr-Latn-RS"/>
        </w:rPr>
      </w:pPr>
      <w:r>
        <w:rPr>
          <w:rFonts w:hint="default" w:ascii="Times New Roman" w:hAnsi="Times New Roman" w:eastAsia="Calibri Light"/>
          <w:color w:val="auto"/>
          <w:sz w:val="24"/>
          <w:szCs w:val="24"/>
          <w:lang w:val="sr-Cyrl-RS"/>
        </w:rPr>
        <w:t>минимум 2 радника електро струке</w:t>
      </w:r>
    </w:p>
    <w:p w14:paraId="50C06B29">
      <w:pPr>
        <w:pStyle w:val="4"/>
        <w:suppressAutoHyphens/>
        <w:rPr>
          <w:rFonts w:ascii="Times New Roman" w:hAnsi="Times New Roman" w:eastAsia="Calibri Light"/>
          <w:color w:val="auto"/>
          <w:sz w:val="24"/>
          <w:szCs w:val="24"/>
          <w:lang w:val="sr-Latn-RS"/>
        </w:rPr>
      </w:pPr>
    </w:p>
    <w:p w14:paraId="00DBF112">
      <w:pPr>
        <w:suppressAutoHyphens/>
        <w:rPr>
          <w:rFonts w:ascii="Times New Roman" w:hAnsi="Times New Roman" w:eastAsia="Calibri Light"/>
          <w:color w:val="auto"/>
          <w:sz w:val="24"/>
          <w:szCs w:val="24"/>
          <w:lang w:val="sr-Latn-RS"/>
        </w:rPr>
      </w:pP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Пре почетка радова обавезно контактирати БЗР и ЗОП службе РТС-а и обезбедити сву потребну документацију</w:t>
      </w:r>
      <w:r>
        <w:rPr>
          <w:rFonts w:ascii="Times New Roman" w:hAnsi="Times New Roman" w:eastAsia="Calibri Light"/>
          <w:color w:val="auto"/>
          <w:sz w:val="24"/>
          <w:szCs w:val="24"/>
          <w:lang w:val="sr-Latn-RS"/>
        </w:rPr>
        <w:t>.</w:t>
      </w:r>
    </w:p>
    <w:p w14:paraId="10BBE59B">
      <w:pPr>
        <w:suppressAutoHyphens/>
        <w:rPr>
          <w:rFonts w:ascii="Times New Roman" w:hAnsi="Times New Roman" w:eastAsia="Calibri Light"/>
          <w:color w:val="auto"/>
          <w:sz w:val="24"/>
          <w:szCs w:val="24"/>
          <w:lang w:val="sr-Latn-RS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За сва питања и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додатне информације,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контакт особа је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Слободан Аврамовић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(тел.: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>06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0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5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61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2171</w:t>
      </w:r>
      <w:r>
        <w:rPr>
          <w:rFonts w:ascii="Times New Roman" w:hAnsi="Times New Roman" w:eastAsia="Calibri Light"/>
          <w:color w:val="auto"/>
          <w:sz w:val="24"/>
          <w:szCs w:val="24"/>
        </w:rPr>
        <w:t>)</w:t>
      </w:r>
    </w:p>
    <w:p w14:paraId="13642947">
      <w:pPr>
        <w:suppressAutoHyphens/>
        <w:rPr>
          <w:rFonts w:ascii="Times New Roman" w:hAnsi="Times New Roman" w:eastAsia="Calibri Light"/>
          <w:color w:val="auto"/>
          <w:sz w:val="24"/>
          <w:szCs w:val="24"/>
          <w:lang w:val="sr-Cyrl-RS"/>
        </w:rPr>
      </w:pPr>
    </w:p>
    <w:p w14:paraId="04905017">
      <w:pPr>
        <w:suppressAutoHyphens/>
        <w:rPr>
          <w:rFonts w:ascii="Times New Roman" w:hAnsi="Times New Roman" w:eastAsia="Calibri Light"/>
          <w:b/>
          <w:bCs/>
          <w:color w:val="auto"/>
          <w:sz w:val="26"/>
          <w:szCs w:val="26"/>
          <w:lang w:val="sr-Cyrl-RS"/>
        </w:rPr>
      </w:pPr>
      <w:r>
        <w:rPr>
          <w:rFonts w:ascii="Times New Roman" w:hAnsi="Times New Roman" w:eastAsia="Calibri Light"/>
          <w:b/>
          <w:bCs/>
          <w:color w:val="auto"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2F5D4288">
      <w:pPr>
        <w:suppressAutoHyphens/>
        <w:rPr>
          <w:rFonts w:ascii="Times New Roman" w:hAnsi="Times New Roman" w:eastAsia="Calibri Light"/>
          <w:color w:val="auto"/>
          <w:sz w:val="24"/>
          <w:szCs w:val="24"/>
          <w:lang w:val="sr-Cyrl-RS"/>
        </w:rPr>
      </w:pPr>
    </w:p>
    <w:p w14:paraId="27CE3822">
      <w:pPr>
        <w:spacing w:after="0" w:line="240" w:lineRule="auto"/>
        <w:jc w:val="both"/>
        <w:rPr>
          <w:rFonts w:ascii="Times New Roman" w:hAnsi="Times New Roman" w:eastAsia="Cambria"/>
          <w:color w:val="auto"/>
          <w:sz w:val="24"/>
          <w:szCs w:val="24"/>
        </w:rPr>
      </w:pPr>
      <w:r>
        <w:rPr>
          <w:rFonts w:ascii="Times New Roman" w:hAnsi="Times New Roman" w:eastAsia="Cambria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D4C2E95">
      <w:pPr>
        <w:spacing w:after="0" w:line="240" w:lineRule="auto"/>
        <w:jc w:val="both"/>
        <w:rPr>
          <w:rFonts w:ascii="Times New Roman" w:hAnsi="Times New Roman" w:eastAsia="Cambria"/>
          <w:color w:val="auto"/>
          <w:sz w:val="24"/>
          <w:szCs w:val="24"/>
        </w:rPr>
      </w:pPr>
      <w:r>
        <w:rPr>
          <w:rFonts w:ascii="Times New Roman" w:hAnsi="Times New Roman" w:eastAsia="Cambria"/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</w:p>
    <w:p w14:paraId="5EA3CB21">
      <w:pPr>
        <w:rPr>
          <w:color w:val="auto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D0470"/>
    <w:multiLevelType w:val="multilevel"/>
    <w:tmpl w:val="063D047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 Light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0D214CA"/>
    <w:multiLevelType w:val="multilevel"/>
    <w:tmpl w:val="30D214CA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DE"/>
    <w:rsid w:val="0002495F"/>
    <w:rsid w:val="0002705C"/>
    <w:rsid w:val="00027B5D"/>
    <w:rsid w:val="00033088"/>
    <w:rsid w:val="000503D4"/>
    <w:rsid w:val="00095159"/>
    <w:rsid w:val="000D598C"/>
    <w:rsid w:val="000F7D95"/>
    <w:rsid w:val="00150CDE"/>
    <w:rsid w:val="00155F17"/>
    <w:rsid w:val="001B2B14"/>
    <w:rsid w:val="00203522"/>
    <w:rsid w:val="002311F3"/>
    <w:rsid w:val="00272477"/>
    <w:rsid w:val="00274498"/>
    <w:rsid w:val="002A1A7E"/>
    <w:rsid w:val="002D452E"/>
    <w:rsid w:val="002E10F6"/>
    <w:rsid w:val="00331F82"/>
    <w:rsid w:val="00337917"/>
    <w:rsid w:val="003865BD"/>
    <w:rsid w:val="003D1013"/>
    <w:rsid w:val="003E5E74"/>
    <w:rsid w:val="00426B8B"/>
    <w:rsid w:val="00427CD3"/>
    <w:rsid w:val="00432F10"/>
    <w:rsid w:val="00454BF8"/>
    <w:rsid w:val="004A49F9"/>
    <w:rsid w:val="004B5028"/>
    <w:rsid w:val="004E15EE"/>
    <w:rsid w:val="00566D62"/>
    <w:rsid w:val="0056760B"/>
    <w:rsid w:val="00575E3C"/>
    <w:rsid w:val="005D3220"/>
    <w:rsid w:val="006037EA"/>
    <w:rsid w:val="00604B5D"/>
    <w:rsid w:val="00605F3B"/>
    <w:rsid w:val="00606602"/>
    <w:rsid w:val="00610065"/>
    <w:rsid w:val="0066436B"/>
    <w:rsid w:val="00664BD2"/>
    <w:rsid w:val="0069458B"/>
    <w:rsid w:val="006A1423"/>
    <w:rsid w:val="007314A1"/>
    <w:rsid w:val="0073498A"/>
    <w:rsid w:val="00750FF6"/>
    <w:rsid w:val="0078001E"/>
    <w:rsid w:val="007A6EF6"/>
    <w:rsid w:val="007B029F"/>
    <w:rsid w:val="007B0CA1"/>
    <w:rsid w:val="007F64AA"/>
    <w:rsid w:val="00817B69"/>
    <w:rsid w:val="00821026"/>
    <w:rsid w:val="00835ADB"/>
    <w:rsid w:val="008F5A43"/>
    <w:rsid w:val="008F6553"/>
    <w:rsid w:val="008F6E86"/>
    <w:rsid w:val="00927157"/>
    <w:rsid w:val="00951F32"/>
    <w:rsid w:val="009757F1"/>
    <w:rsid w:val="009B49D4"/>
    <w:rsid w:val="00A241EB"/>
    <w:rsid w:val="00A318C1"/>
    <w:rsid w:val="00A82A53"/>
    <w:rsid w:val="00A851CB"/>
    <w:rsid w:val="00AC44CA"/>
    <w:rsid w:val="00AC4FDA"/>
    <w:rsid w:val="00AE1503"/>
    <w:rsid w:val="00AF046F"/>
    <w:rsid w:val="00AF39FF"/>
    <w:rsid w:val="00B23909"/>
    <w:rsid w:val="00B44DAE"/>
    <w:rsid w:val="00BA7C8B"/>
    <w:rsid w:val="00C105F8"/>
    <w:rsid w:val="00C12AC2"/>
    <w:rsid w:val="00C23B7B"/>
    <w:rsid w:val="00C44162"/>
    <w:rsid w:val="00C527C3"/>
    <w:rsid w:val="00C62B60"/>
    <w:rsid w:val="00C92440"/>
    <w:rsid w:val="00CB171B"/>
    <w:rsid w:val="00CB3548"/>
    <w:rsid w:val="00D22535"/>
    <w:rsid w:val="00D256E1"/>
    <w:rsid w:val="00D40CE7"/>
    <w:rsid w:val="00D4184D"/>
    <w:rsid w:val="00D95C18"/>
    <w:rsid w:val="00DA1AC0"/>
    <w:rsid w:val="00E01043"/>
    <w:rsid w:val="00E0395E"/>
    <w:rsid w:val="00EC058A"/>
    <w:rsid w:val="00ED2508"/>
    <w:rsid w:val="00FA520B"/>
    <w:rsid w:val="00FB4204"/>
    <w:rsid w:val="01CD2B14"/>
    <w:rsid w:val="09F863DA"/>
    <w:rsid w:val="0F1D38E5"/>
    <w:rsid w:val="372C3815"/>
    <w:rsid w:val="4D6C3367"/>
    <w:rsid w:val="5390587E"/>
    <w:rsid w:val="744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1994</Characters>
  <Lines>16</Lines>
  <Paragraphs>4</Paragraphs>
  <TotalTime>17</TotalTime>
  <ScaleCrop>false</ScaleCrop>
  <LinksUpToDate>false</LinksUpToDate>
  <CharactersWithSpaces>2339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2025-11-24T13:04:00Z</dcterms:created>
  <dc:creator>Ruzica Jovanovic</dc:creator>
  <cp:lastModifiedBy>slobodan.avramovic</cp:lastModifiedBy>
  <dcterms:modified xsi:type="dcterms:W3CDTF">2025-11-25T08:15:59Z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23276BAE42984C4D98F89DB1FF8E97B0_12</vt:lpwstr>
  </property>
</Properties>
</file>